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lastRenderedPageBreak/>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9"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lastRenderedPageBreak/>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lastRenderedPageBreak/>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lastRenderedPageBreak/>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lastRenderedPageBreak/>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0"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lastRenderedPageBreak/>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lastRenderedPageBreak/>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1"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2"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lastRenderedPageBreak/>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kilka zamówień w ramach jednej operacji dotyczy tej samej kategorii kosztów, Beneficjent powinien </w:t>
      </w:r>
      <w:r w:rsidRPr="000B5A7D">
        <w:rPr>
          <w:rFonts w:ascii="Times New Roman" w:hAnsi="Times New Roman" w:cs="Times New Roman"/>
          <w:sz w:val="20"/>
          <w:szCs w:val="20"/>
        </w:rPr>
        <w:lastRenderedPageBreak/>
        <w:t>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lastRenderedPageBreak/>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lastRenderedPageBreak/>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lastRenderedPageBreak/>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lastRenderedPageBreak/>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lastRenderedPageBreak/>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lastRenderedPageBreak/>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lastRenderedPageBreak/>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56CC" w14:textId="77777777" w:rsidR="00B02DDB" w:rsidRDefault="00B02DDB">
      <w:r>
        <w:separator/>
      </w:r>
    </w:p>
  </w:endnote>
  <w:endnote w:type="continuationSeparator" w:id="0">
    <w:p w14:paraId="190BB69F" w14:textId="77777777" w:rsidR="00B02DDB" w:rsidRDefault="00B02DDB">
      <w:r>
        <w:continuationSeparator/>
      </w:r>
    </w:p>
  </w:endnote>
  <w:endnote w:type="continuationNotice" w:id="1">
    <w:p w14:paraId="00396134" w14:textId="77777777" w:rsidR="00B02DDB" w:rsidRDefault="00B02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F02CC0">
            <w:rPr>
              <w:rStyle w:val="Numerstrony"/>
              <w:b/>
              <w:noProof/>
              <w:sz w:val="20"/>
            </w:rPr>
            <w:t>23</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F02CC0">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3179" w14:textId="77777777" w:rsidR="00B02DDB" w:rsidRDefault="00B02DDB">
      <w:r>
        <w:separator/>
      </w:r>
    </w:p>
  </w:footnote>
  <w:footnote w:type="continuationSeparator" w:id="0">
    <w:p w14:paraId="387DF850" w14:textId="77777777" w:rsidR="00B02DDB" w:rsidRDefault="00B02DDB">
      <w:r>
        <w:continuationSeparator/>
      </w:r>
    </w:p>
  </w:footnote>
  <w:footnote w:type="continuationNotice" w:id="1">
    <w:p w14:paraId="04AE5477" w14:textId="77777777" w:rsidR="00B02DDB" w:rsidRDefault="00B02DDB"/>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2D4"/>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CC0"/>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B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gov.pl/rybolowstwo/po-ryby-morze-2014-2020/interpretacje/zasady-konkurencyjnego-wyboru-wykonawcow-w-ramach-programu-operacyjnego-rybactwo-i-mor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92A1-F792-4AE4-B563-580D4692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15761</Words>
  <Characters>102246</Characters>
  <Application>Microsoft Office Word</Application>
  <DocSecurity>0</DocSecurity>
  <Lines>852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Zywicka Marta</cp:lastModifiedBy>
  <cp:revision>9</cp:revision>
  <cp:lastPrinted>2018-11-21T08:45:00Z</cp:lastPrinted>
  <dcterms:created xsi:type="dcterms:W3CDTF">2018-09-10T13:33:00Z</dcterms:created>
  <dcterms:modified xsi:type="dcterms:W3CDTF">2018-11-21T08:46:00Z</dcterms:modified>
</cp:coreProperties>
</file>